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61755" w14:textId="77777777" w:rsidR="00BC175A" w:rsidRPr="00E6099B" w:rsidRDefault="00BC175A" w:rsidP="00BC175A">
      <w:pPr>
        <w:ind w:left="3540" w:hanging="3540"/>
        <w:jc w:val="center"/>
        <w:rPr>
          <w:b/>
          <w:sz w:val="32"/>
          <w:szCs w:val="32"/>
        </w:rPr>
      </w:pPr>
      <w:r w:rsidRPr="00E6099B">
        <w:rPr>
          <w:b/>
          <w:sz w:val="32"/>
          <w:szCs w:val="32"/>
        </w:rPr>
        <w:t>“</w:t>
      </w:r>
      <w:r>
        <w:rPr>
          <w:b/>
          <w:sz w:val="32"/>
          <w:szCs w:val="32"/>
        </w:rPr>
        <w:t>Se l’Italia uscisse dall’Europa</w:t>
      </w:r>
      <w:r w:rsidRPr="00E6099B">
        <w:rPr>
          <w:b/>
          <w:sz w:val="32"/>
          <w:szCs w:val="32"/>
        </w:rPr>
        <w:t>”.</w:t>
      </w:r>
    </w:p>
    <w:p w14:paraId="2DDA226C" w14:textId="77777777" w:rsidR="00BC175A" w:rsidRPr="00BC175A" w:rsidRDefault="00E07036" w:rsidP="00BC175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Amb</w:t>
      </w:r>
      <w:bookmarkStart w:id="0" w:name="_GoBack"/>
      <w:bookmarkEnd w:id="0"/>
      <w:r w:rsidR="00BC175A" w:rsidRPr="00BC175A">
        <w:rPr>
          <w:i/>
          <w:sz w:val="28"/>
          <w:szCs w:val="28"/>
        </w:rPr>
        <w:t>. Roberto Nigido</w:t>
      </w:r>
    </w:p>
    <w:p w14:paraId="24675D88" w14:textId="77777777" w:rsidR="00BC175A" w:rsidRDefault="00BC175A" w:rsidP="00BC175A">
      <w:pPr>
        <w:jc w:val="both"/>
      </w:pPr>
    </w:p>
    <w:p w14:paraId="2C7BEB25" w14:textId="77777777" w:rsidR="00C9157D" w:rsidRDefault="00C9157D"/>
    <w:p w14:paraId="28F8C1E2" w14:textId="77777777" w:rsidR="00804CF4" w:rsidRDefault="00804CF4"/>
    <w:p w14:paraId="6A32D3F7" w14:textId="77777777" w:rsidR="000A5898" w:rsidRDefault="000A5898" w:rsidP="00BB1F64">
      <w:r>
        <w:t>Premessa</w:t>
      </w:r>
    </w:p>
    <w:p w14:paraId="3AFA94E8" w14:textId="77777777" w:rsidR="00804CF4" w:rsidRDefault="00804CF4" w:rsidP="00BB1F64">
      <w:r>
        <w:t>L’ ipotesi non è teorica: un numero crescente di forze politiche sostiene che sarebbe più fac</w:t>
      </w:r>
      <w:r w:rsidR="004846B7">
        <w:t>ile affrontare le difficoltà a</w:t>
      </w:r>
      <w:r>
        <w:t xml:space="preserve"> cui è attualmente confrontata l’ Italia ( declino</w:t>
      </w:r>
      <w:r w:rsidR="000A5898">
        <w:t xml:space="preserve"> dell’ attività economica, disoccupazione</w:t>
      </w:r>
      <w:r w:rsidR="007D1847">
        <w:t>, crescente povertà</w:t>
      </w:r>
      <w:r w:rsidR="000A5898">
        <w:t xml:space="preserve"> )</w:t>
      </w:r>
      <w:r w:rsidR="002C08C7">
        <w:t xml:space="preserve"> se il nostro Paese non fosse più soggetto</w:t>
      </w:r>
      <w:r>
        <w:t xml:space="preserve"> ai v</w:t>
      </w:r>
      <w:r w:rsidR="009E31FF">
        <w:t>incoli delle regole europee. Secondo i sondaggi, u</w:t>
      </w:r>
      <w:r>
        <w:t>n num</w:t>
      </w:r>
      <w:r w:rsidR="009E31FF">
        <w:t>ero crescente di italiani sembrerebbe</w:t>
      </w:r>
      <w:r>
        <w:t xml:space="preserve"> convinto che questa tesi sia corretta. </w:t>
      </w:r>
    </w:p>
    <w:p w14:paraId="3A2F4A85" w14:textId="77777777" w:rsidR="004B1928" w:rsidRDefault="00B30761">
      <w:r>
        <w:t>Sulla base di</w:t>
      </w:r>
      <w:r w:rsidR="00804CF4">
        <w:t xml:space="preserve"> questo convincimento</w:t>
      </w:r>
      <w:r w:rsidR="00950408">
        <w:t>,</w:t>
      </w:r>
      <w:r w:rsidR="00804CF4">
        <w:t xml:space="preserve"> l’ Italia do</w:t>
      </w:r>
      <w:r w:rsidR="00950408">
        <w:t>vrebbe</w:t>
      </w:r>
      <w:r w:rsidR="005E5990">
        <w:t xml:space="preserve"> uscire dall’ Euro</w:t>
      </w:r>
      <w:r w:rsidR="00804CF4">
        <w:t>. Q</w:t>
      </w:r>
      <w:r w:rsidR="00604713">
        <w:t>uesta opz</w:t>
      </w:r>
      <w:r w:rsidR="00950408">
        <w:t>ione</w:t>
      </w:r>
      <w:r w:rsidR="005E5990">
        <w:t xml:space="preserve"> non</w:t>
      </w:r>
      <w:r w:rsidR="00804CF4">
        <w:t xml:space="preserve"> è possi</w:t>
      </w:r>
      <w:r w:rsidR="005E5990">
        <w:t>bile in base a</w:t>
      </w:r>
      <w:r w:rsidR="00804CF4">
        <w:t>l Trattato sull’ Unione E</w:t>
      </w:r>
      <w:r w:rsidR="005E5990">
        <w:t>uropea:</w:t>
      </w:r>
      <w:r w:rsidR="00805B51">
        <w:t xml:space="preserve"> non è previs</w:t>
      </w:r>
      <w:r w:rsidR="004A6337">
        <w:t>ta</w:t>
      </w:r>
      <w:r w:rsidR="005E5990">
        <w:t xml:space="preserve"> infatti la possibilità dell’</w:t>
      </w:r>
      <w:r w:rsidR="004A6337">
        <w:t xml:space="preserve"> uscita dall’ EURO</w:t>
      </w:r>
      <w:r w:rsidR="004B1928">
        <w:t xml:space="preserve"> conservando però i vantaggi del mercato unico</w:t>
      </w:r>
      <w:r w:rsidR="004A6337">
        <w:t xml:space="preserve">. </w:t>
      </w:r>
      <w:r w:rsidR="005E5990">
        <w:t>L’ articolo 50 del Trattato prevede</w:t>
      </w:r>
      <w:r w:rsidR="00226597">
        <w:t xml:space="preserve"> invece</w:t>
      </w:r>
      <w:r w:rsidR="005E5990">
        <w:t xml:space="preserve"> la possibilità di recedere dall’ Unione Europea; e quindi di uscire da tutte le sue politiche, diventando Paese terzo. L</w:t>
      </w:r>
      <w:r w:rsidR="004A6337">
        <w:t>’ arti</w:t>
      </w:r>
      <w:r w:rsidR="00805B51">
        <w:t>colo 50</w:t>
      </w:r>
      <w:r w:rsidR="004B1928">
        <w:t xml:space="preserve"> prevede</w:t>
      </w:r>
      <w:r w:rsidR="005E5990">
        <w:t xml:space="preserve"> anche</w:t>
      </w:r>
      <w:r w:rsidR="004B1928">
        <w:t xml:space="preserve"> </w:t>
      </w:r>
      <w:r w:rsidR="004846B7">
        <w:t xml:space="preserve"> che </w:t>
      </w:r>
      <w:r w:rsidR="004B1928">
        <w:t>il Paese che avesse fatto la</w:t>
      </w:r>
      <w:r w:rsidR="004846B7">
        <w:t xml:space="preserve"> scelta</w:t>
      </w:r>
      <w:r w:rsidR="004B1928">
        <w:t xml:space="preserve"> di receder</w:t>
      </w:r>
      <w:r w:rsidR="00944E90">
        <w:t>e</w:t>
      </w:r>
      <w:r w:rsidR="004B1928">
        <w:t xml:space="preserve"> dall’ Unione</w:t>
      </w:r>
      <w:r w:rsidR="004846B7">
        <w:t xml:space="preserve"> </w:t>
      </w:r>
      <w:r w:rsidR="00950408">
        <w:t xml:space="preserve"> potrebbe</w:t>
      </w:r>
      <w:r w:rsidR="004846B7">
        <w:t xml:space="preserve"> poi</w:t>
      </w:r>
      <w:r w:rsidR="00805B51">
        <w:t xml:space="preserve"> negoziare con </w:t>
      </w:r>
      <w:r w:rsidR="004B1928">
        <w:t>quest’ ultima</w:t>
      </w:r>
      <w:r w:rsidR="00805B51">
        <w:t xml:space="preserve"> </w:t>
      </w:r>
      <w:r w:rsidR="00950408">
        <w:t xml:space="preserve"> le condizioni per la sua partecipazione ad alcune politiche europee, per e</w:t>
      </w:r>
      <w:r w:rsidR="002C08C7">
        <w:t xml:space="preserve">sempio il mercato interno ( senza ovviamente poter partecipare alle decisioni relative a queste politiche </w:t>
      </w:r>
      <w:r w:rsidR="004B1928">
        <w:t xml:space="preserve">), come hanno fatto, in alternativa </w:t>
      </w:r>
      <w:r w:rsidR="004A6337">
        <w:t>all’ adesione,</w:t>
      </w:r>
      <w:r w:rsidR="002C08C7">
        <w:t xml:space="preserve"> la Norvegia,</w:t>
      </w:r>
      <w:r w:rsidR="00950408">
        <w:t xml:space="preserve"> la Svi</w:t>
      </w:r>
      <w:r w:rsidR="002C08C7">
        <w:t>zzera e l’ Islanda</w:t>
      </w:r>
      <w:r w:rsidR="004B1928">
        <w:t>.</w:t>
      </w:r>
      <w:r w:rsidR="004A6337">
        <w:t xml:space="preserve"> </w:t>
      </w:r>
    </w:p>
    <w:p w14:paraId="434A99AC" w14:textId="77777777" w:rsidR="005E5990" w:rsidRDefault="00981B52">
      <w:r>
        <w:t>Le forze politiche che sostengono la necessità</w:t>
      </w:r>
      <w:r w:rsidR="00805B51">
        <w:t xml:space="preserve"> della recessione</w:t>
      </w:r>
      <w:r w:rsidR="00604713">
        <w:t xml:space="preserve"> da</w:t>
      </w:r>
      <w:r w:rsidR="00E749DA">
        <w:t>ll’ Unione non</w:t>
      </w:r>
      <w:r w:rsidR="000E0580">
        <w:t xml:space="preserve"> fanno previsioni sulle conseg</w:t>
      </w:r>
      <w:r>
        <w:t>uenze di questa</w:t>
      </w:r>
      <w:r w:rsidR="000E0580">
        <w:t xml:space="preserve"> decisione</w:t>
      </w:r>
      <w:r w:rsidR="00226597">
        <w:t xml:space="preserve"> </w:t>
      </w:r>
      <w:r w:rsidR="000E0580">
        <w:t xml:space="preserve"> né</w:t>
      </w:r>
      <w:r w:rsidR="00E749DA">
        <w:t xml:space="preserve"> spiegano</w:t>
      </w:r>
      <w:r w:rsidR="00604713">
        <w:t xml:space="preserve"> cosa intenderebbero fare a fronte degli scenari ch</w:t>
      </w:r>
      <w:r w:rsidR="000E0580">
        <w:t>e si aprirebbero</w:t>
      </w:r>
      <w:r w:rsidR="00604713">
        <w:t xml:space="preserve"> per il nostro Paese</w:t>
      </w:r>
      <w:r w:rsidR="00F03A1B">
        <w:t xml:space="preserve">. </w:t>
      </w:r>
      <w:r>
        <w:t>Di fronte a una scelta</w:t>
      </w:r>
      <w:r w:rsidR="00226597">
        <w:t xml:space="preserve"> così definitiva, é</w:t>
      </w:r>
      <w:r w:rsidR="005E5990">
        <w:t xml:space="preserve"> </w:t>
      </w:r>
      <w:r w:rsidR="00F03A1B">
        <w:t xml:space="preserve"> invece doveroso cercare</w:t>
      </w:r>
      <w:r w:rsidR="004846B7">
        <w:t xml:space="preserve"> </w:t>
      </w:r>
      <w:r w:rsidR="003E6F17">
        <w:t>di immaginare</w:t>
      </w:r>
      <w:r>
        <w:t xml:space="preserve"> quanto </w:t>
      </w:r>
      <w:r w:rsidR="00226597">
        <w:t>meno</w:t>
      </w:r>
      <w:r w:rsidR="003E6F17">
        <w:t xml:space="preserve"> gl</w:t>
      </w:r>
      <w:r w:rsidR="00944E90">
        <w:t>i effetti economici che</w:t>
      </w:r>
      <w:r w:rsidR="00226597">
        <w:t xml:space="preserve"> essa provocherebbe per l’ Italia</w:t>
      </w:r>
      <w:r w:rsidR="005E5990">
        <w:t>.</w:t>
      </w:r>
    </w:p>
    <w:p w14:paraId="1FF62EA8" w14:textId="77777777" w:rsidR="0084226E" w:rsidRDefault="00F03A1B">
      <w:r>
        <w:t>L</w:t>
      </w:r>
      <w:r w:rsidR="003E6F17">
        <w:t>e critiche</w:t>
      </w:r>
      <w:r w:rsidR="00944E90">
        <w:t xml:space="preserve"> all’ Euro</w:t>
      </w:r>
      <w:r w:rsidR="003E6F17">
        <w:t xml:space="preserve"> sono essenzialmente</w:t>
      </w:r>
      <w:r w:rsidR="00E749DA">
        <w:t xml:space="preserve"> di </w:t>
      </w:r>
      <w:r w:rsidR="003E6F17">
        <w:t xml:space="preserve"> due</w:t>
      </w:r>
      <w:r w:rsidR="00E749DA">
        <w:t xml:space="preserve"> ordini</w:t>
      </w:r>
      <w:r w:rsidR="003E6F17">
        <w:t>: la rigidità del cambio</w:t>
      </w:r>
      <w:r>
        <w:t>, che penalizzerebbe</w:t>
      </w:r>
      <w:r w:rsidR="00805B51">
        <w:t xml:space="preserve"> le esportazioni italiane,</w:t>
      </w:r>
      <w:r w:rsidR="003E6F17">
        <w:t xml:space="preserve"> e la disciplina di bilancio</w:t>
      </w:r>
      <w:r w:rsidR="005E5990">
        <w:t>, che impone politiche di</w:t>
      </w:r>
      <w:r w:rsidR="0084226E">
        <w:t xml:space="preserve"> austerità</w:t>
      </w:r>
      <w:r w:rsidR="005E5990">
        <w:t xml:space="preserve"> che i critici dell’ Euro ritengono pregiudizievoli</w:t>
      </w:r>
      <w:r>
        <w:t xml:space="preserve"> per </w:t>
      </w:r>
      <w:r w:rsidR="0084226E">
        <w:t>la crescita economica.</w:t>
      </w:r>
    </w:p>
    <w:p w14:paraId="4268AE56" w14:textId="77777777" w:rsidR="00BB1F64" w:rsidRDefault="00BB1F64"/>
    <w:p w14:paraId="44F4E1C6" w14:textId="77777777" w:rsidR="00C44443" w:rsidRDefault="000A5898">
      <w:r>
        <w:t>Il cambio fisso</w:t>
      </w:r>
    </w:p>
    <w:p w14:paraId="01863C2E" w14:textId="77777777" w:rsidR="009125DC" w:rsidRDefault="00C44443">
      <w:r>
        <w:t>L’ uscita dell’ Italia dall’ Euro</w:t>
      </w:r>
      <w:r w:rsidR="003347BF">
        <w:t xml:space="preserve"> si tradurrebbe sui mercati finanziari</w:t>
      </w:r>
      <w:r w:rsidR="00E4573B">
        <w:t>, dopo il ritorno alla moneta nazionale,</w:t>
      </w:r>
      <w:r w:rsidR="003347BF">
        <w:t xml:space="preserve"> in un</w:t>
      </w:r>
      <w:r w:rsidR="00E4573B">
        <w:t>a immediata svalutazione</w:t>
      </w:r>
      <w:r w:rsidR="003347BF">
        <w:t xml:space="preserve"> rispetto  al precedente tasso di cambio</w:t>
      </w:r>
      <w:r w:rsidR="00944E90">
        <w:t xml:space="preserve"> tra vecchie lire e </w:t>
      </w:r>
      <w:r w:rsidR="003347BF">
        <w:t>EURO. Questo è d’altra parte l’ effetto che i critici della moneta unica dicono di ricercare</w:t>
      </w:r>
      <w:r w:rsidR="004A6337">
        <w:t xml:space="preserve"> </w:t>
      </w:r>
      <w:r w:rsidR="00DD0C99">
        <w:t>per compensare la minore competitività dei prodotti nazionali</w:t>
      </w:r>
      <w:r w:rsidR="004A6337">
        <w:t xml:space="preserve"> sui mercati esteri</w:t>
      </w:r>
      <w:r w:rsidR="009B258E">
        <w:t>. I</w:t>
      </w:r>
      <w:r w:rsidR="0084226E">
        <w:t xml:space="preserve"> prodotti italiani diventerebbero meno cari per l’ importatore estero e quelli esteri più cari per l’ importatore italiano</w:t>
      </w:r>
      <w:r w:rsidR="009B258E">
        <w:t>: le esportazioni verrebbero incoraggiate e le importazioni scoraggiate.</w:t>
      </w:r>
      <w:r w:rsidR="0084226E">
        <w:t xml:space="preserve"> Tenuto conto che l’ economia italiana è una economia di trasformazione e che l’ Italia importa buona parte dei prodotti agricoli che consuma</w:t>
      </w:r>
      <w:r w:rsidR="00DD0C99">
        <w:t xml:space="preserve"> e la quasi totalità delle materi</w:t>
      </w:r>
      <w:r w:rsidR="004A6337">
        <w:t xml:space="preserve">e prime e </w:t>
      </w:r>
      <w:r w:rsidR="003347BF">
        <w:t xml:space="preserve"> dell’ energia</w:t>
      </w:r>
      <w:r w:rsidR="004A6337">
        <w:t xml:space="preserve"> che impieg</w:t>
      </w:r>
      <w:r w:rsidR="00DD0C99">
        <w:t>a, la convenienza</w:t>
      </w:r>
      <w:r w:rsidR="00B57366">
        <w:t xml:space="preserve"> immediata dell’ abbandono del cambio fisso</w:t>
      </w:r>
      <w:r w:rsidR="00DD0C99">
        <w:t xml:space="preserve"> è quanto meno dubbia. La convenienza è meno dubbia per Paesi che sono grandi produttori di materie prime e che hanno la capacità di sostituire i prodotti industriali importati con prodotti nazionali</w:t>
      </w:r>
      <w:r w:rsidR="003347BF">
        <w:t xml:space="preserve"> ( é</w:t>
      </w:r>
      <w:r w:rsidR="00F73A95">
        <w:t xml:space="preserve"> st</w:t>
      </w:r>
      <w:r w:rsidR="003347BF">
        <w:t xml:space="preserve">ato il caso del </w:t>
      </w:r>
      <w:r w:rsidR="003347BF">
        <w:lastRenderedPageBreak/>
        <w:t>Brasile nel 1999</w:t>
      </w:r>
      <w:r w:rsidR="00E438B2">
        <w:t xml:space="preserve"> )</w:t>
      </w:r>
      <w:r w:rsidR="00DD0C99">
        <w:t xml:space="preserve">; ma non </w:t>
      </w:r>
      <w:r w:rsidR="003347BF">
        <w:t>è sicura, come ci spiega la storia</w:t>
      </w:r>
      <w:r w:rsidR="00DD0C99">
        <w:t xml:space="preserve"> dell’ Argentina</w:t>
      </w:r>
      <w:r w:rsidR="00E438B2">
        <w:t xml:space="preserve"> dal 2001 in poi</w:t>
      </w:r>
      <w:r w:rsidR="00DD0C99">
        <w:t>.</w:t>
      </w:r>
      <w:r w:rsidR="005B669A">
        <w:t xml:space="preserve"> Il successo economico</w:t>
      </w:r>
      <w:r w:rsidR="003347BF">
        <w:t xml:space="preserve"> dell’ Ecuador</w:t>
      </w:r>
      <w:r w:rsidR="0025744B">
        <w:t xml:space="preserve"> ( successo</w:t>
      </w:r>
      <w:r w:rsidR="00FB71B1">
        <w:t xml:space="preserve"> apparentemente</w:t>
      </w:r>
      <w:r w:rsidR="0025744B">
        <w:t xml:space="preserve"> sorprendente in un Paese</w:t>
      </w:r>
      <w:r w:rsidR="003347BF">
        <w:t xml:space="preserve"> governato </w:t>
      </w:r>
      <w:r w:rsidR="0025744B">
        <w:t>da tempo da un Presidente che dice di ispirarsi</w:t>
      </w:r>
      <w:r w:rsidR="003347BF">
        <w:t xml:space="preserve"> al socialismo bolivariano</w:t>
      </w:r>
      <w:r w:rsidR="0025744B">
        <w:t xml:space="preserve"> di Chavez</w:t>
      </w:r>
      <w:r w:rsidR="003347BF">
        <w:t xml:space="preserve"> )</w:t>
      </w:r>
      <w:r w:rsidR="00F02860">
        <w:t xml:space="preserve"> prov</w:t>
      </w:r>
      <w:r w:rsidR="0025744B">
        <w:t>a</w:t>
      </w:r>
      <w:r w:rsidR="00FB71B1">
        <w:t xml:space="preserve"> comunque</w:t>
      </w:r>
      <w:r w:rsidR="00E438B2">
        <w:t xml:space="preserve"> che il cambio fisso</w:t>
      </w:r>
      <w:r w:rsidR="00E749DA">
        <w:t xml:space="preserve"> è in grado di garantir</w:t>
      </w:r>
      <w:r w:rsidR="00E438B2">
        <w:t>e la competitività dei prodotti nazionali</w:t>
      </w:r>
      <w:r w:rsidR="00F02860">
        <w:t>,</w:t>
      </w:r>
      <w:r w:rsidR="00E438B2">
        <w:t xml:space="preserve"> se sostenuto da una corretta gestione delle finanze statali.</w:t>
      </w:r>
    </w:p>
    <w:p w14:paraId="15BF5C9F" w14:textId="77777777" w:rsidR="00317A67" w:rsidRDefault="00B57366">
      <w:r>
        <w:t>Per quanto riguarda l’</w:t>
      </w:r>
      <w:r w:rsidR="007C5F6C">
        <w:t xml:space="preserve"> Italia, </w:t>
      </w:r>
      <w:r>
        <w:t xml:space="preserve"> </w:t>
      </w:r>
      <w:r w:rsidR="003A70C6">
        <w:t xml:space="preserve"> mi </w:t>
      </w:r>
      <w:r>
        <w:t xml:space="preserve">sembrano invece sicuri gli effetti negativi a più lungo termine. </w:t>
      </w:r>
      <w:r w:rsidR="00E266B7">
        <w:t>E’</w:t>
      </w:r>
      <w:r w:rsidR="00ED3E1C">
        <w:t xml:space="preserve"> dimostrato che l</w:t>
      </w:r>
      <w:r w:rsidR="009125DC">
        <w:t>a scarsa competitività dei prod</w:t>
      </w:r>
      <w:r w:rsidR="00E266B7">
        <w:t>otti italiani dipende da cause</w:t>
      </w:r>
      <w:r w:rsidR="009125DC">
        <w:t xml:space="preserve"> strutturali (</w:t>
      </w:r>
      <w:r w:rsidR="00345C21">
        <w:t xml:space="preserve"> mancato adeguament</w:t>
      </w:r>
      <w:r w:rsidR="0077010D">
        <w:t>o del sistema Paese alla  piena</w:t>
      </w:r>
      <w:r w:rsidR="00345C21">
        <w:t xml:space="preserve"> concorrenza</w:t>
      </w:r>
      <w:r w:rsidR="00B64857">
        <w:t xml:space="preserve"> indotta</w:t>
      </w:r>
      <w:r w:rsidR="00345C21">
        <w:t xml:space="preserve"> in Europa</w:t>
      </w:r>
      <w:r w:rsidR="00B64857">
        <w:t xml:space="preserve"> dal</w:t>
      </w:r>
      <w:r w:rsidR="00ED3E1C">
        <w:t>la realizzazione del mercato unico</w:t>
      </w:r>
      <w:r w:rsidR="00C178F6">
        <w:t xml:space="preserve"> </w:t>
      </w:r>
      <w:r w:rsidR="00B64857">
        <w:t xml:space="preserve">alla fine degli anni </w:t>
      </w:r>
      <w:r w:rsidR="00C178F6">
        <w:t>’</w:t>
      </w:r>
      <w:r w:rsidR="00B64857">
        <w:t>80</w:t>
      </w:r>
      <w:r w:rsidR="00C178F6">
        <w:t xml:space="preserve"> e ora nel mondo da</w:t>
      </w:r>
      <w:r w:rsidR="00B64857">
        <w:t>lla globalizzazione</w:t>
      </w:r>
      <w:r w:rsidR="009125DC">
        <w:t xml:space="preserve"> ) </w:t>
      </w:r>
      <w:r w:rsidR="00B93050">
        <w:t>e non congiunturali</w:t>
      </w:r>
      <w:r w:rsidR="00ED3E1C">
        <w:t>. Se l’ Italia continuasse a non correggere le debolezze strutturali del proprio sistema economico,</w:t>
      </w:r>
      <w:r w:rsidR="009125DC">
        <w:t xml:space="preserve"> </w:t>
      </w:r>
      <w:r w:rsidR="00ED3E1C">
        <w:t>al</w:t>
      </w:r>
      <w:r w:rsidR="00B93050">
        <w:t>la prima svalutazione ne</w:t>
      </w:r>
      <w:r w:rsidR="009125DC">
        <w:t xml:space="preserve"> seg</w:t>
      </w:r>
      <w:r w:rsidR="00B93050">
        <w:t>uirebbero</w:t>
      </w:r>
      <w:r w:rsidR="00ED3E1C">
        <w:t xml:space="preserve"> delle altre</w:t>
      </w:r>
      <w:r w:rsidR="00C178F6">
        <w:t>,</w:t>
      </w:r>
      <w:r w:rsidR="00ED3E1C">
        <w:t xml:space="preserve"> in una serie tendenzialmente infinita:</w:t>
      </w:r>
      <w:r w:rsidR="009125DC">
        <w:t xml:space="preserve"> l’ inflazione importata con l’ aumento del costo delle materie prime necessarie alle nostre produzioni annullerebbe rapidamente il vantaggio competitivo raggiunto con la prima svalutazione,</w:t>
      </w:r>
      <w:r w:rsidR="001462C6">
        <w:t xml:space="preserve"> producendo una spirale</w:t>
      </w:r>
      <w:r w:rsidR="009125DC">
        <w:t xml:space="preserve"> di svalut</w:t>
      </w:r>
      <w:r>
        <w:t>azione/ inflazione/ svalutazione</w:t>
      </w:r>
      <w:r w:rsidR="00D86E5F">
        <w:t xml:space="preserve">. </w:t>
      </w:r>
      <w:r w:rsidR="00BB2CC9">
        <w:t>A conferma</w:t>
      </w:r>
      <w:r w:rsidR="006C5C34">
        <w:t>, ricordo che il tasso di cambio peso argentino-dollaro è passato, dopo l’ abbandono del cambio fisso col dollaro, da 1 a1 nel 2001 a 1 a 10/13</w:t>
      </w:r>
      <w:r w:rsidR="00BB2CC9">
        <w:t>, seguendo l’ andamento</w:t>
      </w:r>
      <w:r w:rsidR="00635F2A">
        <w:t xml:space="preserve"> dell’ inflazione</w:t>
      </w:r>
      <w:r w:rsidR="006C5C34">
        <w:t>.</w:t>
      </w:r>
      <w:r w:rsidR="00635F2A">
        <w:t xml:space="preserve"> </w:t>
      </w:r>
    </w:p>
    <w:p w14:paraId="6951042C" w14:textId="77777777" w:rsidR="00D86E5F" w:rsidRDefault="00D86E5F">
      <w:r>
        <w:t>L’ esperienza italiana degli anni ’70, prima dell’ ingresso</w:t>
      </w:r>
      <w:r w:rsidR="000D19E2">
        <w:t xml:space="preserve"> nel Sistema Monetario Europeo</w:t>
      </w:r>
      <w:r w:rsidR="00ED3E1C">
        <w:t>,</w:t>
      </w:r>
      <w:r>
        <w:t xml:space="preserve"> ha dimostrato</w:t>
      </w:r>
      <w:r w:rsidR="00317A67">
        <w:t xml:space="preserve"> che la politica delle svalutazioni competitive non</w:t>
      </w:r>
      <w:r w:rsidR="0024141B">
        <w:t xml:space="preserve"> poteva</w:t>
      </w:r>
      <w:r w:rsidR="00317A67">
        <w:t xml:space="preserve"> risolve</w:t>
      </w:r>
      <w:r w:rsidR="0024141B">
        <w:t>re i problemi del</w:t>
      </w:r>
      <w:r w:rsidR="00317A67">
        <w:t xml:space="preserve"> Paese e</w:t>
      </w:r>
      <w:r>
        <w:t xml:space="preserve"> che il tempo in cui si annulla il vantaggio competitivo della svalutazione è molto breve: </w:t>
      </w:r>
      <w:r w:rsidR="00526ABD">
        <w:t xml:space="preserve">non più di </w:t>
      </w:r>
      <w:r>
        <w:t>sei mesi. Nel frattempo salari e pen</w:t>
      </w:r>
      <w:r w:rsidR="009E197F">
        <w:t>sioni non aumentano</w:t>
      </w:r>
      <w:r>
        <w:t xml:space="preserve">  così rapidamente come l’ inflazione: il c</w:t>
      </w:r>
      <w:r w:rsidR="009E197F">
        <w:t>osto dell’ aggiustamento viene interamente pag</w:t>
      </w:r>
      <w:r>
        <w:t xml:space="preserve">ato dai percettori di redditi fissi. </w:t>
      </w:r>
    </w:p>
    <w:p w14:paraId="6419EB1B" w14:textId="77777777" w:rsidR="00A05B03" w:rsidRDefault="00D86E5F">
      <w:r>
        <w:t>A questi svantaggi si aggiungerebbero cer</w:t>
      </w:r>
      <w:r w:rsidR="000D19E2">
        <w:t>tam</w:t>
      </w:r>
      <w:r w:rsidR="00B93050">
        <w:t>ente gli ostacoli</w:t>
      </w:r>
      <w:r>
        <w:t xml:space="preserve"> non tariffari</w:t>
      </w:r>
      <w:r w:rsidR="00B57366">
        <w:t xml:space="preserve"> </w:t>
      </w:r>
      <w:r w:rsidR="00B93050">
        <w:t xml:space="preserve">( </w:t>
      </w:r>
      <w:r w:rsidR="00546E3D">
        <w:t>e</w:t>
      </w:r>
      <w:r w:rsidR="0047571B">
        <w:t xml:space="preserve"> anche tariffari</w:t>
      </w:r>
      <w:r w:rsidR="00B93050">
        <w:t xml:space="preserve"> )</w:t>
      </w:r>
      <w:r w:rsidR="0047571B">
        <w:t>,</w:t>
      </w:r>
      <w:r>
        <w:t xml:space="preserve"> che i nostri competitori</w:t>
      </w:r>
      <w:r w:rsidR="00C178F6">
        <w:t>,</w:t>
      </w:r>
      <w:r w:rsidR="00B93050">
        <w:t xml:space="preserve"> soprattutto europei</w:t>
      </w:r>
      <w:r w:rsidR="00C178F6">
        <w:t>,</w:t>
      </w:r>
      <w:r>
        <w:t xml:space="preserve"> non mancherebbero </w:t>
      </w:r>
      <w:r w:rsidR="0047571B">
        <w:t xml:space="preserve">di opporre all’ ingresso dei prodotti italiani sui loro mercati per contrastare le nostre svalutazioni competitive. </w:t>
      </w:r>
      <w:r w:rsidR="008A0AF3">
        <w:t xml:space="preserve">L’ effetto complessivo di queste misure e contromisure sarebbe un progressivo isolamento commerciale del nostro Paese. </w:t>
      </w:r>
      <w:r w:rsidR="0047571B">
        <w:t>Basta andare indietro di non moltissimi anni per ricordare i conte</w:t>
      </w:r>
      <w:r w:rsidR="00526ABD">
        <w:t>nziosi con la Francia sul vino e</w:t>
      </w:r>
      <w:r w:rsidR="0047571B">
        <w:t xml:space="preserve"> i prodotti tessili,</w:t>
      </w:r>
      <w:r w:rsidR="00526ABD">
        <w:t xml:space="preserve"> contenziosi</w:t>
      </w:r>
      <w:r w:rsidR="0047571B">
        <w:t xml:space="preserve"> che non si sono tradotti in vere guerre commerciali grazie all’ intervento della Commissione Eu</w:t>
      </w:r>
      <w:r w:rsidR="009F392A">
        <w:t>ropea</w:t>
      </w:r>
      <w:r w:rsidR="0047571B">
        <w:t xml:space="preserve">. Se poi cercassimo di metterci al riparo da questi effetti con un accordo con l’ Unione per mantenere il mercato unico, </w:t>
      </w:r>
      <w:r w:rsidR="00E8444C">
        <w:t xml:space="preserve">dovremmo considerare come inevitabile </w:t>
      </w:r>
      <w:r w:rsidR="0047571B">
        <w:t>l’ introduzione di importi compe</w:t>
      </w:r>
      <w:r w:rsidR="00E8444C">
        <w:t>nsativi monetari ( come quelli previsti per gli scambi intra-europei di prodotti agricoli prima dell’ Euro )</w:t>
      </w:r>
      <w:r w:rsidR="008A0AF3">
        <w:t xml:space="preserve">. </w:t>
      </w:r>
    </w:p>
    <w:p w14:paraId="515D482B" w14:textId="77777777" w:rsidR="00BB1F64" w:rsidRDefault="00B22B4D">
      <w:r>
        <w:t>Alla fine degli anni ’70 l’ Italia aveva finalmente imparato la lezione: l’ ingresso della lira nel Sistema Monetario Europeo e la stabilizzazione del c</w:t>
      </w:r>
      <w:r w:rsidR="0093633A">
        <w:t>ambio interruppe</w:t>
      </w:r>
      <w:r w:rsidR="001462C6">
        <w:t xml:space="preserve"> la spirale perversa</w:t>
      </w:r>
      <w:r>
        <w:t xml:space="preserve"> svalutazione/inflazione. Era</w:t>
      </w:r>
      <w:r w:rsidR="00A05B03">
        <w:t xml:space="preserve"> stato chiaro del resto,</w:t>
      </w:r>
      <w:r w:rsidR="008A0AF3">
        <w:t xml:space="preserve"> </w:t>
      </w:r>
      <w:r w:rsidR="003130DD">
        <w:t>fin dal Rapporto Werner del 1970, che l’</w:t>
      </w:r>
      <w:r w:rsidR="00B17876">
        <w:t xml:space="preserve"> unione e</w:t>
      </w:r>
      <w:r w:rsidR="003130DD">
        <w:t>con</w:t>
      </w:r>
      <w:r w:rsidR="00B17876">
        <w:t>omica e m</w:t>
      </w:r>
      <w:r w:rsidR="003130DD">
        <w:t xml:space="preserve">onetaria </w:t>
      </w:r>
      <w:r w:rsidR="00B17876">
        <w:t>diventa</w:t>
      </w:r>
      <w:r w:rsidR="003130DD">
        <w:t xml:space="preserve"> </w:t>
      </w:r>
      <w:r w:rsidR="00B17876">
        <w:t>indispensabile se si vuole</w:t>
      </w:r>
      <w:r w:rsidR="003130DD">
        <w:t xml:space="preserve"> mantenere nel lungo periodo la funzionalità del mercato unico.</w:t>
      </w:r>
    </w:p>
    <w:p w14:paraId="02A67FE7" w14:textId="77777777" w:rsidR="00BB1F64" w:rsidRDefault="00BB1F64"/>
    <w:p w14:paraId="48857212" w14:textId="77777777" w:rsidR="000A5898" w:rsidRDefault="000A5898">
      <w:r>
        <w:t>La disciplina di bilancio</w:t>
      </w:r>
    </w:p>
    <w:p w14:paraId="4275FC60" w14:textId="77777777" w:rsidR="007040FB" w:rsidRDefault="00F73A95">
      <w:r>
        <w:t>I limiti</w:t>
      </w:r>
      <w:r w:rsidR="00A00E31">
        <w:t xml:space="preserve"> massimi</w:t>
      </w:r>
      <w:r>
        <w:t xml:space="preserve"> del 3% del rapporto debito/Pil e del 60% del rapporto indebitamento totale/Pil sono stati</w:t>
      </w:r>
      <w:r w:rsidR="009E197F">
        <w:t xml:space="preserve"> ritenu</w:t>
      </w:r>
      <w:r w:rsidR="00687DBF">
        <w:t>ti</w:t>
      </w:r>
      <w:r w:rsidR="007040FB">
        <w:t xml:space="preserve"> sostenibili nel tempo</w:t>
      </w:r>
      <w:r w:rsidR="00687DBF">
        <w:t xml:space="preserve"> dai negoziatori d</w:t>
      </w:r>
      <w:r w:rsidR="00514DB5">
        <w:t>e</w:t>
      </w:r>
      <w:r w:rsidR="00086494">
        <w:t>l Trattato di Maastric</w:t>
      </w:r>
      <w:r w:rsidR="007040FB">
        <w:t>ht</w:t>
      </w:r>
      <w:r w:rsidR="00687DBF">
        <w:t xml:space="preserve"> e</w:t>
      </w:r>
      <w:r w:rsidR="00514DB5">
        <w:t xml:space="preserve"> resi vincolanti</w:t>
      </w:r>
      <w:r w:rsidR="007040FB">
        <w:t xml:space="preserve"> in quel testo</w:t>
      </w:r>
      <w:r>
        <w:t xml:space="preserve"> per mettere al riparo le economie di tutti i Paesi membri</w:t>
      </w:r>
      <w:r w:rsidR="00086494">
        <w:t xml:space="preserve"> della zona EURO</w:t>
      </w:r>
      <w:r>
        <w:t xml:space="preserve"> da shock este</w:t>
      </w:r>
      <w:r w:rsidR="00086494">
        <w:t>rni che, colpendo un</w:t>
      </w:r>
      <w:r w:rsidR="008F69D4">
        <w:t xml:space="preserve"> membro che fosse</w:t>
      </w:r>
      <w:r>
        <w:t xml:space="preserve"> fuori regola e quindi sospettato</w:t>
      </w:r>
      <w:r w:rsidR="007040FB">
        <w:t xml:space="preserve"> dai mercati</w:t>
      </w:r>
      <w:r>
        <w:t xml:space="preserve"> di non essere in grado di ripagare il debito contratto, si sarebbero ripercossi anche sugli altri Paesi. L’</w:t>
      </w:r>
      <w:r w:rsidR="008E7B62">
        <w:t xml:space="preserve"> esperienza degli ultimi anni ha conferm</w:t>
      </w:r>
      <w:r>
        <w:t>ato</w:t>
      </w:r>
      <w:r w:rsidR="008E7B62">
        <w:t xml:space="preserve"> che </w:t>
      </w:r>
      <w:r w:rsidR="008E7B62">
        <w:lastRenderedPageBreak/>
        <w:t>quel principio era corretto</w:t>
      </w:r>
      <w:r>
        <w:t>: la</w:t>
      </w:r>
      <w:r w:rsidR="00514DB5">
        <w:t xml:space="preserve"> zona Euro </w:t>
      </w:r>
      <w:r w:rsidR="007040FB">
        <w:t>è entrata in crisi perché i cosiddetti “</w:t>
      </w:r>
      <w:r w:rsidR="00514DB5">
        <w:t xml:space="preserve"> param</w:t>
      </w:r>
      <w:r w:rsidR="00A00E31">
        <w:t>etri</w:t>
      </w:r>
      <w:r w:rsidR="007040FB">
        <w:t xml:space="preserve"> di Maastricht “</w:t>
      </w:r>
      <w:r w:rsidR="00A00E31">
        <w:t xml:space="preserve"> non sono stati rispettati</w:t>
      </w:r>
      <w:r w:rsidR="0077010D">
        <w:t xml:space="preserve"> da diversi Paesi</w:t>
      </w:r>
      <w:r w:rsidR="00A32E66">
        <w:t xml:space="preserve"> membri</w:t>
      </w:r>
      <w:r w:rsidR="00A00E31">
        <w:t>;</w:t>
      </w:r>
      <w:r w:rsidR="00514DB5">
        <w:t xml:space="preserve"> la</w:t>
      </w:r>
      <w:r>
        <w:t xml:space="preserve"> crisi si è propagata rapidamente dalla Grecia, che era i</w:t>
      </w:r>
      <w:r w:rsidR="007040FB">
        <w:t>l Pa</w:t>
      </w:r>
      <w:r>
        <w:t>ese più fragile, anche agli altri Paesi</w:t>
      </w:r>
      <w:r w:rsidR="007040FB">
        <w:t xml:space="preserve"> maggiormente</w:t>
      </w:r>
      <w:r>
        <w:t xml:space="preserve"> indebitati o poco competitivi.</w:t>
      </w:r>
      <w:r w:rsidR="000A5898">
        <w:t xml:space="preserve"> </w:t>
      </w:r>
    </w:p>
    <w:p w14:paraId="435FC591" w14:textId="77777777" w:rsidR="00EF202C" w:rsidRDefault="007040FB">
      <w:r>
        <w:t>Questi</w:t>
      </w:r>
      <w:r w:rsidR="000A5898">
        <w:t xml:space="preserve"> argoment</w:t>
      </w:r>
      <w:r>
        <w:t>i</w:t>
      </w:r>
      <w:r w:rsidR="000A5898">
        <w:t xml:space="preserve"> non interessa</w:t>
      </w:r>
      <w:r>
        <w:t>no</w:t>
      </w:r>
      <w:r w:rsidR="00F9318C">
        <w:t xml:space="preserve"> ovviamente</w:t>
      </w:r>
      <w:r w:rsidR="000A5898">
        <w:t xml:space="preserve"> i fautori dell’ uscita</w:t>
      </w:r>
      <w:r w:rsidR="0077010D">
        <w:t xml:space="preserve"> dell’ Italia</w:t>
      </w:r>
      <w:r w:rsidR="000A5898">
        <w:t xml:space="preserve"> dall’ Unione</w:t>
      </w:r>
      <w:r w:rsidR="0077010D">
        <w:t>. Essi</w:t>
      </w:r>
      <w:r w:rsidR="00735A99">
        <w:t xml:space="preserve"> non sono interessati ai</w:t>
      </w:r>
      <w:r w:rsidR="00F9318C">
        <w:t xml:space="preserve"> vanta</w:t>
      </w:r>
      <w:r w:rsidR="00735A99">
        <w:t>ggi</w:t>
      </w:r>
      <w:r w:rsidR="00A32E66">
        <w:t xml:space="preserve"> del mercato unico né</w:t>
      </w:r>
      <w:r w:rsidR="00514DB5">
        <w:t xml:space="preserve"> s</w:t>
      </w:r>
      <w:r w:rsidR="00EF202C">
        <w:t>ono turbati dall’ idea</w:t>
      </w:r>
      <w:r w:rsidR="00514DB5">
        <w:t xml:space="preserve"> di lasciare i propri debiti a figli e</w:t>
      </w:r>
      <w:r w:rsidR="008F69D4">
        <w:t xml:space="preserve"> nipoti</w:t>
      </w:r>
      <w:r w:rsidR="00A00E31">
        <w:t>; il loro obiettivo</w:t>
      </w:r>
      <w:r w:rsidR="00735A99">
        <w:t xml:space="preserve"> </w:t>
      </w:r>
      <w:r w:rsidR="0072603C">
        <w:t>è quello di lasciare via libera al</w:t>
      </w:r>
      <w:r w:rsidR="00735A99">
        <w:t>l’ indebitamento del Paese.</w:t>
      </w:r>
      <w:r w:rsidR="00514DB5">
        <w:t xml:space="preserve"> L’</w:t>
      </w:r>
      <w:r w:rsidR="00F9318C">
        <w:t xml:space="preserve"> aumento della spesa pubblic</w:t>
      </w:r>
      <w:r w:rsidR="00CB3464">
        <w:t>a è da loro invocata per finanziare l</w:t>
      </w:r>
      <w:r w:rsidR="00F9318C">
        <w:t>a rid</w:t>
      </w:r>
      <w:r w:rsidR="00B57366">
        <w:t>uzione delle imposte, il miglior</w:t>
      </w:r>
      <w:r w:rsidR="00F9318C">
        <w:t>amento</w:t>
      </w:r>
      <w:r w:rsidR="00B57366">
        <w:t xml:space="preserve"> dell’ educazione e</w:t>
      </w:r>
      <w:r w:rsidR="00F9318C">
        <w:t xml:space="preserve"> della protezione</w:t>
      </w:r>
      <w:r w:rsidR="00B57366">
        <w:t xml:space="preserve"> sociale,</w:t>
      </w:r>
      <w:r w:rsidR="00086494">
        <w:t xml:space="preserve"> l’ ammodernamento</w:t>
      </w:r>
      <w:r w:rsidR="00F9318C">
        <w:t xml:space="preserve"> delle infrastrutture. Si tratta di misure certamente molto  utili per rimettere in moto l’ economia; e anche fattibili in un Paese </w:t>
      </w:r>
      <w:r>
        <w:t>poco indebitato</w:t>
      </w:r>
      <w:r w:rsidR="00F9318C">
        <w:t xml:space="preserve">. </w:t>
      </w:r>
    </w:p>
    <w:p w14:paraId="4C2B2B95" w14:textId="77777777" w:rsidR="0027164D" w:rsidRDefault="00F9318C">
      <w:r>
        <w:t>Questo non è purtroppo il caso dell’ Italia</w:t>
      </w:r>
      <w:r w:rsidR="00086494">
        <w:t>.</w:t>
      </w:r>
      <w:r w:rsidR="00A32E66">
        <w:t xml:space="preserve"> </w:t>
      </w:r>
      <w:r w:rsidR="00AE213E">
        <w:t>Ai livelli attuali dell</w:t>
      </w:r>
      <w:r w:rsidR="0077010D">
        <w:t>’ indebitamento pubblico italiano</w:t>
      </w:r>
      <w:r w:rsidR="00AE213E">
        <w:t>, l’ aumento del deficit</w:t>
      </w:r>
      <w:r w:rsidR="00212DE7">
        <w:t xml:space="preserve"> e la conseguente perdita di fidu</w:t>
      </w:r>
      <w:r w:rsidR="00CD7227">
        <w:t>cia dei mercati nella solvibilità dell’ Italia, accompagnati per di più dall’ abbandono dell’ Euro,</w:t>
      </w:r>
      <w:r w:rsidR="00AE213E">
        <w:t xml:space="preserve"> produrrebbe</w:t>
      </w:r>
      <w:r w:rsidR="00CD7227">
        <w:t>ro</w:t>
      </w:r>
      <w:r w:rsidR="00AE213E">
        <w:t xml:space="preserve"> un immediato rialzo dei tassi di</w:t>
      </w:r>
      <w:r w:rsidR="001E08AC">
        <w:t xml:space="preserve"> interess</w:t>
      </w:r>
      <w:r w:rsidR="0077010D">
        <w:t>e sui titoli del nostro debito</w:t>
      </w:r>
      <w:r w:rsidR="00344EA3">
        <w:t xml:space="preserve"> da rinnovare alle relative scadenze</w:t>
      </w:r>
      <w:r w:rsidR="00DF012F">
        <w:t>. Il</w:t>
      </w:r>
      <w:r w:rsidR="0077010D">
        <w:t xml:space="preserve"> rialzo</w:t>
      </w:r>
      <w:r w:rsidR="006663DF">
        <w:t xml:space="preserve"> dei tassi</w:t>
      </w:r>
      <w:r w:rsidR="00DF012F">
        <w:t xml:space="preserve"> di interes</w:t>
      </w:r>
      <w:r w:rsidR="00F9756D">
        <w:t>se</w:t>
      </w:r>
      <w:r w:rsidR="006C5C34">
        <w:t xml:space="preserve"> rende</w:t>
      </w:r>
      <w:r w:rsidR="00587C69">
        <w:t>rebbe</w:t>
      </w:r>
      <w:r w:rsidR="00BB2CC9">
        <w:t xml:space="preserve"> presto</w:t>
      </w:r>
      <w:r w:rsidR="006C5C34">
        <w:t xml:space="preserve"> il costo dell’ indebitamento</w:t>
      </w:r>
      <w:r w:rsidR="00587C69">
        <w:t xml:space="preserve"> insopportabile per le finanze dello Stato e</w:t>
      </w:r>
      <w:r w:rsidR="00F9756D">
        <w:t xml:space="preserve"> porterebbe</w:t>
      </w:r>
      <w:r w:rsidR="00AE213E">
        <w:t xml:space="preserve"> alla necessità di dichiarare il defaul</w:t>
      </w:r>
      <w:r w:rsidR="001E08AC">
        <w:t>t</w:t>
      </w:r>
      <w:r w:rsidR="0027164D">
        <w:t>, come ha fatto l’ Argentina nel 2001</w:t>
      </w:r>
      <w:r w:rsidR="00EF202C">
        <w:t>,</w:t>
      </w:r>
      <w:r w:rsidR="000D0544">
        <w:t xml:space="preserve"> dopo</w:t>
      </w:r>
      <w:r w:rsidR="00D2727B">
        <w:t xml:space="preserve"> anni di spesa facile</w:t>
      </w:r>
      <w:r w:rsidR="00576129">
        <w:t xml:space="preserve"> e subito dopo l’ uscita dal cambio fisso.</w:t>
      </w:r>
    </w:p>
    <w:p w14:paraId="2F33E027" w14:textId="77777777" w:rsidR="00150E51" w:rsidRDefault="00B0361B">
      <w:r>
        <w:t xml:space="preserve"> La storia del debito argentino è però ancora più complessa e non è </w:t>
      </w:r>
      <w:r w:rsidR="00C749D2">
        <w:t>questa la sede per ricostrui</w:t>
      </w:r>
      <w:r>
        <w:t>rla.</w:t>
      </w:r>
      <w:r w:rsidR="00131239">
        <w:t xml:space="preserve"> </w:t>
      </w:r>
    </w:p>
    <w:p w14:paraId="742AF6A8" w14:textId="77777777" w:rsidR="00A61CC5" w:rsidRDefault="00131239">
      <w:r>
        <w:t>Però questa è la sede per ricordare la politica della sp</w:t>
      </w:r>
      <w:r w:rsidR="009F4B36">
        <w:t>esa facile</w:t>
      </w:r>
      <w:r>
        <w:t xml:space="preserve"> dell’ Italia negli anni ’70 e ’80</w:t>
      </w:r>
      <w:r w:rsidR="00A0304E">
        <w:t>, nel corso dei quali l’ indebitamento</w:t>
      </w:r>
      <w:r w:rsidR="0031102E">
        <w:t xml:space="preserve"> pass</w:t>
      </w:r>
      <w:r w:rsidR="00EB5240">
        <w:t>ò dal 40% del PIL nel 1970 al 58</w:t>
      </w:r>
      <w:r w:rsidR="0031102E">
        <w:t>% del 1980</w:t>
      </w:r>
      <w:r w:rsidR="004F673F">
        <w:t xml:space="preserve"> e al 106% del 1992</w:t>
      </w:r>
      <w:r w:rsidR="005E4620">
        <w:t>. Q</w:t>
      </w:r>
      <w:r>
        <w:t>uella politica è responsabile de</w:t>
      </w:r>
      <w:r w:rsidR="00423122">
        <w:t>lla drammatica</w:t>
      </w:r>
      <w:r>
        <w:t xml:space="preserve"> situazione in cui ci troviamo ora</w:t>
      </w:r>
      <w:r w:rsidR="001665E9">
        <w:t>, ma dal</w:t>
      </w:r>
      <w:r w:rsidR="00DA2F6D">
        <w:t>la quale possiamo uscire con</w:t>
      </w:r>
      <w:r w:rsidR="001665E9">
        <w:t xml:space="preserve"> la volontà di ricostrui</w:t>
      </w:r>
      <w:r w:rsidR="00DA2F6D">
        <w:t>re il nostro Paese e</w:t>
      </w:r>
      <w:r w:rsidR="00AC00AF">
        <w:t xml:space="preserve"> con l’ esercizio del </w:t>
      </w:r>
      <w:r w:rsidR="00DA2F6D">
        <w:t xml:space="preserve"> buon senso</w:t>
      </w:r>
      <w:r w:rsidR="006663DF">
        <w:t xml:space="preserve"> sorretto da</w:t>
      </w:r>
      <w:r w:rsidR="00DA2F6D">
        <w:t>ll’ esperienza.</w:t>
      </w:r>
      <w:r w:rsidR="005E4620">
        <w:t xml:space="preserve"> </w:t>
      </w:r>
      <w:r w:rsidR="00150E51">
        <w:t>I</w:t>
      </w:r>
      <w:r w:rsidR="001665E9">
        <w:t xml:space="preserve"> </w:t>
      </w:r>
      <w:r>
        <w:t>fautori dell’ abbandono del rigore</w:t>
      </w:r>
      <w:r w:rsidR="006663DF">
        <w:t xml:space="preserve"> fiscale vorrebbero tornare al</w:t>
      </w:r>
      <w:r w:rsidR="001665E9">
        <w:t>la politica della spesa facile</w:t>
      </w:r>
      <w:r w:rsidR="002A577B">
        <w:t xml:space="preserve"> e</w:t>
      </w:r>
      <w:r>
        <w:t xml:space="preserve"> precipitare</w:t>
      </w:r>
      <w:r w:rsidR="00423122">
        <w:t xml:space="preserve"> nuovamente</w:t>
      </w:r>
      <w:r>
        <w:t xml:space="preserve"> l’ Italia nel disastro.</w:t>
      </w:r>
      <w:r w:rsidR="00423122">
        <w:t xml:space="preserve"> No</w:t>
      </w:r>
      <w:r w:rsidR="00576129">
        <w:t>n è questa</w:t>
      </w:r>
      <w:r w:rsidR="00423122">
        <w:t xml:space="preserve"> la</w:t>
      </w:r>
      <w:r w:rsidR="00BF1B38">
        <w:t xml:space="preserve"> bacchetta magica</w:t>
      </w:r>
      <w:r w:rsidR="009E197F">
        <w:t xml:space="preserve"> per uscire dalla c</w:t>
      </w:r>
      <w:r w:rsidR="00AC00AF">
        <w:t>risi</w:t>
      </w:r>
      <w:r w:rsidR="00576129">
        <w:t>;</w:t>
      </w:r>
      <w:r w:rsidR="00AC00AF">
        <w:t xml:space="preserve"> e non ci sono scorciatoie: l’ unica</w:t>
      </w:r>
      <w:r w:rsidR="00BF1B38">
        <w:t xml:space="preserve"> strada è quella del</w:t>
      </w:r>
      <w:r w:rsidR="00DA2F6D">
        <w:t xml:space="preserve">le riforme che l’  </w:t>
      </w:r>
      <w:r w:rsidR="009D2EA8">
        <w:t xml:space="preserve">Unione </w:t>
      </w:r>
      <w:r w:rsidR="00DA2F6D">
        <w:t>Europ</w:t>
      </w:r>
      <w:r w:rsidR="009D2EA8">
        <w:t>e</w:t>
      </w:r>
      <w:r w:rsidR="009E197F">
        <w:t>a e l’ OCSE ci sollecitano da oltre venti anni.</w:t>
      </w:r>
    </w:p>
    <w:p w14:paraId="2F45779B" w14:textId="77777777" w:rsidR="001E08AC" w:rsidRDefault="001E08AC"/>
    <w:p w14:paraId="170A306E" w14:textId="77777777" w:rsidR="00804CF4" w:rsidRDefault="00804CF4"/>
    <w:sectPr w:rsidR="00804CF4" w:rsidSect="00C915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5A6570" w14:textId="77777777" w:rsidR="009355B0" w:rsidRDefault="009355B0" w:rsidP="00BC175A">
      <w:pPr>
        <w:spacing w:after="0" w:line="240" w:lineRule="auto"/>
      </w:pPr>
      <w:r>
        <w:separator/>
      </w:r>
    </w:p>
  </w:endnote>
  <w:endnote w:type="continuationSeparator" w:id="0">
    <w:p w14:paraId="64BE2A4A" w14:textId="77777777" w:rsidR="009355B0" w:rsidRDefault="009355B0" w:rsidP="00BC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0AB7F" w14:textId="77777777" w:rsidR="009355B0" w:rsidRDefault="009355B0" w:rsidP="00BC175A">
      <w:pPr>
        <w:spacing w:after="0" w:line="240" w:lineRule="auto"/>
      </w:pPr>
      <w:r>
        <w:separator/>
      </w:r>
    </w:p>
  </w:footnote>
  <w:footnote w:type="continuationSeparator" w:id="0">
    <w:p w14:paraId="13500449" w14:textId="77777777" w:rsidR="009355B0" w:rsidRDefault="009355B0" w:rsidP="00BC1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91C8C"/>
    <w:multiLevelType w:val="hybridMultilevel"/>
    <w:tmpl w:val="9A6475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44C4A"/>
    <w:multiLevelType w:val="hybridMultilevel"/>
    <w:tmpl w:val="92809C7E"/>
    <w:lvl w:ilvl="0" w:tplc="0ACA4F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CF4"/>
    <w:rsid w:val="00017FA4"/>
    <w:rsid w:val="000271F8"/>
    <w:rsid w:val="00086494"/>
    <w:rsid w:val="000A5898"/>
    <w:rsid w:val="000C5BCD"/>
    <w:rsid w:val="000D0544"/>
    <w:rsid w:val="000D19E2"/>
    <w:rsid w:val="000E0580"/>
    <w:rsid w:val="000F5CB5"/>
    <w:rsid w:val="00131239"/>
    <w:rsid w:val="001363E8"/>
    <w:rsid w:val="00140549"/>
    <w:rsid w:val="001462C6"/>
    <w:rsid w:val="00150E51"/>
    <w:rsid w:val="001555FB"/>
    <w:rsid w:val="001658D8"/>
    <w:rsid w:val="001665E9"/>
    <w:rsid w:val="001E08AC"/>
    <w:rsid w:val="001E248F"/>
    <w:rsid w:val="00203630"/>
    <w:rsid w:val="00212DE7"/>
    <w:rsid w:val="00226597"/>
    <w:rsid w:val="0024141B"/>
    <w:rsid w:val="00246666"/>
    <w:rsid w:val="00254A07"/>
    <w:rsid w:val="0025744B"/>
    <w:rsid w:val="0027164D"/>
    <w:rsid w:val="00273678"/>
    <w:rsid w:val="002859EF"/>
    <w:rsid w:val="002A13DE"/>
    <w:rsid w:val="002A45E5"/>
    <w:rsid w:val="002A577B"/>
    <w:rsid w:val="002A697A"/>
    <w:rsid w:val="002C08C7"/>
    <w:rsid w:val="002C3B6A"/>
    <w:rsid w:val="002D32EA"/>
    <w:rsid w:val="002E23BA"/>
    <w:rsid w:val="0031102E"/>
    <w:rsid w:val="003130DD"/>
    <w:rsid w:val="00317A67"/>
    <w:rsid w:val="00323236"/>
    <w:rsid w:val="0032458A"/>
    <w:rsid w:val="003347BF"/>
    <w:rsid w:val="00340B3B"/>
    <w:rsid w:val="00344EA3"/>
    <w:rsid w:val="00345C21"/>
    <w:rsid w:val="00361DCA"/>
    <w:rsid w:val="003A2D39"/>
    <w:rsid w:val="003A70C6"/>
    <w:rsid w:val="003C0F35"/>
    <w:rsid w:val="003E4E4C"/>
    <w:rsid w:val="003E6F17"/>
    <w:rsid w:val="00423122"/>
    <w:rsid w:val="00440A74"/>
    <w:rsid w:val="0047571B"/>
    <w:rsid w:val="004846B7"/>
    <w:rsid w:val="004A6337"/>
    <w:rsid w:val="004B1928"/>
    <w:rsid w:val="004B4FD5"/>
    <w:rsid w:val="004C13AF"/>
    <w:rsid w:val="004E2CB3"/>
    <w:rsid w:val="004F673F"/>
    <w:rsid w:val="00514A1F"/>
    <w:rsid w:val="00514DB5"/>
    <w:rsid w:val="00526ABD"/>
    <w:rsid w:val="00546E3D"/>
    <w:rsid w:val="00565C3F"/>
    <w:rsid w:val="00576129"/>
    <w:rsid w:val="00587C69"/>
    <w:rsid w:val="005B669A"/>
    <w:rsid w:val="005C3B37"/>
    <w:rsid w:val="005D3CCA"/>
    <w:rsid w:val="005E4620"/>
    <w:rsid w:val="005E5990"/>
    <w:rsid w:val="005F68EA"/>
    <w:rsid w:val="00604713"/>
    <w:rsid w:val="00616476"/>
    <w:rsid w:val="00635F2A"/>
    <w:rsid w:val="006419EA"/>
    <w:rsid w:val="00651681"/>
    <w:rsid w:val="006663DF"/>
    <w:rsid w:val="006836DC"/>
    <w:rsid w:val="00687DBF"/>
    <w:rsid w:val="006A5880"/>
    <w:rsid w:val="006C5C34"/>
    <w:rsid w:val="006C6651"/>
    <w:rsid w:val="006D1CA2"/>
    <w:rsid w:val="007040FB"/>
    <w:rsid w:val="0072603C"/>
    <w:rsid w:val="00735A99"/>
    <w:rsid w:val="00737CC9"/>
    <w:rsid w:val="0077010D"/>
    <w:rsid w:val="00786FF2"/>
    <w:rsid w:val="007B35DC"/>
    <w:rsid w:val="007C5F6C"/>
    <w:rsid w:val="007D1847"/>
    <w:rsid w:val="007F17FA"/>
    <w:rsid w:val="007F2C1F"/>
    <w:rsid w:val="00804CF4"/>
    <w:rsid w:val="00805B51"/>
    <w:rsid w:val="008265BA"/>
    <w:rsid w:val="0084226E"/>
    <w:rsid w:val="00874AB4"/>
    <w:rsid w:val="00876D49"/>
    <w:rsid w:val="00897372"/>
    <w:rsid w:val="008A0AF3"/>
    <w:rsid w:val="008C07B4"/>
    <w:rsid w:val="008C6B1D"/>
    <w:rsid w:val="008E7B62"/>
    <w:rsid w:val="008F69D4"/>
    <w:rsid w:val="00904AE2"/>
    <w:rsid w:val="009062FE"/>
    <w:rsid w:val="009125DC"/>
    <w:rsid w:val="0092180D"/>
    <w:rsid w:val="009355B0"/>
    <w:rsid w:val="0093633A"/>
    <w:rsid w:val="00944E90"/>
    <w:rsid w:val="00950408"/>
    <w:rsid w:val="0096159B"/>
    <w:rsid w:val="00961CD2"/>
    <w:rsid w:val="00971C57"/>
    <w:rsid w:val="00980032"/>
    <w:rsid w:val="00981B52"/>
    <w:rsid w:val="00986866"/>
    <w:rsid w:val="00997062"/>
    <w:rsid w:val="009B258E"/>
    <w:rsid w:val="009D2EA8"/>
    <w:rsid w:val="009E197F"/>
    <w:rsid w:val="009E31FF"/>
    <w:rsid w:val="009F392A"/>
    <w:rsid w:val="009F4B36"/>
    <w:rsid w:val="00A00E31"/>
    <w:rsid w:val="00A012D6"/>
    <w:rsid w:val="00A0304E"/>
    <w:rsid w:val="00A05B03"/>
    <w:rsid w:val="00A13C7A"/>
    <w:rsid w:val="00A32E66"/>
    <w:rsid w:val="00A61CC5"/>
    <w:rsid w:val="00AC00AF"/>
    <w:rsid w:val="00AE213E"/>
    <w:rsid w:val="00B0361B"/>
    <w:rsid w:val="00B12C0C"/>
    <w:rsid w:val="00B17876"/>
    <w:rsid w:val="00B22B4D"/>
    <w:rsid w:val="00B30761"/>
    <w:rsid w:val="00B57366"/>
    <w:rsid w:val="00B64857"/>
    <w:rsid w:val="00B84902"/>
    <w:rsid w:val="00B86680"/>
    <w:rsid w:val="00B93050"/>
    <w:rsid w:val="00BB1F64"/>
    <w:rsid w:val="00BB2CC9"/>
    <w:rsid w:val="00BC175A"/>
    <w:rsid w:val="00BE2BF5"/>
    <w:rsid w:val="00BF1B38"/>
    <w:rsid w:val="00C1636C"/>
    <w:rsid w:val="00C166A3"/>
    <w:rsid w:val="00C178F6"/>
    <w:rsid w:val="00C44443"/>
    <w:rsid w:val="00C535DC"/>
    <w:rsid w:val="00C66EE9"/>
    <w:rsid w:val="00C749D2"/>
    <w:rsid w:val="00C77BFE"/>
    <w:rsid w:val="00C9157D"/>
    <w:rsid w:val="00CB3464"/>
    <w:rsid w:val="00CC4B0B"/>
    <w:rsid w:val="00CD7227"/>
    <w:rsid w:val="00CF58E2"/>
    <w:rsid w:val="00D05398"/>
    <w:rsid w:val="00D07261"/>
    <w:rsid w:val="00D152BB"/>
    <w:rsid w:val="00D2727B"/>
    <w:rsid w:val="00D27A0A"/>
    <w:rsid w:val="00D5690B"/>
    <w:rsid w:val="00D86E5F"/>
    <w:rsid w:val="00DA2F6D"/>
    <w:rsid w:val="00DD0C99"/>
    <w:rsid w:val="00DD5E93"/>
    <w:rsid w:val="00DF012F"/>
    <w:rsid w:val="00E07036"/>
    <w:rsid w:val="00E266B7"/>
    <w:rsid w:val="00E438B2"/>
    <w:rsid w:val="00E4573B"/>
    <w:rsid w:val="00E55874"/>
    <w:rsid w:val="00E653B0"/>
    <w:rsid w:val="00E749DA"/>
    <w:rsid w:val="00E8444C"/>
    <w:rsid w:val="00EA08BD"/>
    <w:rsid w:val="00EB5240"/>
    <w:rsid w:val="00EC1537"/>
    <w:rsid w:val="00EC5FFD"/>
    <w:rsid w:val="00ED3E1C"/>
    <w:rsid w:val="00ED3EDF"/>
    <w:rsid w:val="00EF202C"/>
    <w:rsid w:val="00F00661"/>
    <w:rsid w:val="00F02860"/>
    <w:rsid w:val="00F03A1B"/>
    <w:rsid w:val="00F2772E"/>
    <w:rsid w:val="00F73A95"/>
    <w:rsid w:val="00F815D8"/>
    <w:rsid w:val="00F9318C"/>
    <w:rsid w:val="00F9756D"/>
    <w:rsid w:val="00FB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3FE2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57D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1F64"/>
    <w:pPr>
      <w:ind w:left="720"/>
      <w:contextualSpacing/>
    </w:pPr>
  </w:style>
  <w:style w:type="character" w:styleId="Rimandonotaapidipagina">
    <w:name w:val="footnote reference"/>
    <w:basedOn w:val="Caratterepredefinitoparagrafo"/>
    <w:uiPriority w:val="99"/>
    <w:semiHidden/>
    <w:unhideWhenUsed/>
    <w:rsid w:val="00BC175A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1399</Words>
  <Characters>7980</Characters>
  <Application>Microsoft Macintosh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MATTIA MARTINI</cp:lastModifiedBy>
  <cp:revision>6</cp:revision>
  <cp:lastPrinted>2014-05-01T10:47:00Z</cp:lastPrinted>
  <dcterms:created xsi:type="dcterms:W3CDTF">2014-05-05T08:16:00Z</dcterms:created>
  <dcterms:modified xsi:type="dcterms:W3CDTF">2014-06-18T16:24:00Z</dcterms:modified>
</cp:coreProperties>
</file>